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2678C" w:rsidRPr="0072678C" w:rsidTr="0072678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8C" w:rsidRPr="0072678C" w:rsidRDefault="0072678C" w:rsidP="007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LAO ĐỘNG – THƯƠNG BINH VÀ XÃ HỘI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8C" w:rsidRPr="0072678C" w:rsidRDefault="0072678C" w:rsidP="007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72678C" w:rsidRPr="0072678C" w:rsidTr="0072678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8C" w:rsidRPr="0072678C" w:rsidRDefault="0072678C" w:rsidP="0072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8C">
              <w:rPr>
                <w:rFonts w:ascii="Times New Roman" w:eastAsia="Times New Roman" w:hAnsi="Times New Roman" w:cs="Times New Roman"/>
                <w:sz w:val="24"/>
                <w:szCs w:val="24"/>
              </w:rPr>
              <w:t>Số:3234/LĐTBXH-LĐTL</w:t>
            </w:r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V/v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tính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trả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lương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ngày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nghỉ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hàng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năm</w:t>
            </w:r>
            <w:proofErr w:type="spellEnd"/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8C" w:rsidRPr="0072678C" w:rsidRDefault="0072678C" w:rsidP="0072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13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08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2015</w:t>
            </w:r>
          </w:p>
        </w:tc>
      </w:tr>
    </w:tbl>
    <w:p w:rsidR="0072678C" w:rsidRPr="0072678C" w:rsidRDefault="0072678C" w:rsidP="00726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72678C" w:rsidRDefault="0072678C" w:rsidP="00726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72678C" w:rsidRPr="0072678C" w:rsidRDefault="0072678C" w:rsidP="00726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678C">
        <w:rPr>
          <w:rFonts w:ascii="Arial" w:eastAsia="Times New Roman" w:hAnsi="Arial" w:cs="Arial"/>
          <w:b/>
          <w:bCs/>
          <w:color w:val="000000"/>
          <w:sz w:val="18"/>
        </w:rPr>
        <w:t>Kính</w:t>
      </w:r>
      <w:proofErr w:type="spellEnd"/>
      <w:r w:rsidRPr="0072678C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b/>
          <w:bCs/>
          <w:color w:val="000000"/>
          <w:sz w:val="18"/>
        </w:rPr>
        <w:t>gửi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hữu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WINNERS VINA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010615/CV-WN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01/6/2015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a) Theo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97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05/2015/NĐ-CP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12/01/2015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thêm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giờ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300%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b) Theo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114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thôi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c) Theo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05/2015/NĐ-CP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111,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tăng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thêm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thâm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niên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112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kề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chia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bình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tăng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thêm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thâm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niên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d) Theo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05/2015/NĐ-CP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bình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06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kề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chia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bình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kề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đoàn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nay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ít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300%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thôi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05/2015/NĐ-CP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ty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biết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72678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proofErr w:type="gramStart"/>
      <w:r w:rsidRPr="0072678C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72678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2678C" w:rsidRPr="0072678C" w:rsidRDefault="0072678C" w:rsidP="0072678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2678C" w:rsidRPr="0072678C" w:rsidRDefault="0072678C" w:rsidP="007267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2678C" w:rsidRPr="0072678C" w:rsidTr="0072678C">
        <w:trPr>
          <w:trHeight w:val="54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8C" w:rsidRPr="0072678C" w:rsidRDefault="0072678C" w:rsidP="0072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Như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trên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- TT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Phạm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Minh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Huân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để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b/c);</w:t>
            </w:r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- Lưu: VT, </w:t>
            </w:r>
            <w:proofErr w:type="spellStart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>Vụ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LĐTL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8C" w:rsidRPr="0072678C" w:rsidRDefault="0072678C" w:rsidP="007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LT. BỘ TRƯỞNG</w:t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VỤ TRƯỞNG VỤ LAO ĐỘNG – TIỀN LƯƠNG</w:t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Tống</w:t>
            </w:r>
            <w:proofErr w:type="spellEnd"/>
            <w:r w:rsidRPr="0072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Thị Minh</w:t>
            </w:r>
          </w:p>
        </w:tc>
      </w:tr>
    </w:tbl>
    <w:p w:rsidR="0072678C" w:rsidRPr="0072678C" w:rsidRDefault="0072678C" w:rsidP="0072678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7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E50AC" w:rsidRDefault="001E50AC"/>
    <w:sectPr w:rsidR="001E50AC" w:rsidSect="0072678C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78C"/>
    <w:rsid w:val="001E50AC"/>
    <w:rsid w:val="0072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78C"/>
    <w:rPr>
      <w:b/>
      <w:bCs/>
    </w:rPr>
  </w:style>
  <w:style w:type="character" w:customStyle="1" w:styleId="apple-converted-space">
    <w:name w:val="apple-converted-space"/>
    <w:basedOn w:val="DefaultParagraphFont"/>
    <w:rsid w:val="0072678C"/>
  </w:style>
  <w:style w:type="character" w:styleId="Emphasis">
    <w:name w:val="Emphasis"/>
    <w:basedOn w:val="DefaultParagraphFont"/>
    <w:uiPriority w:val="20"/>
    <w:qFormat/>
    <w:rsid w:val="00726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 Phong</dc:creator>
  <cp:lastModifiedBy>Doanh Phong</cp:lastModifiedBy>
  <cp:revision>1</cp:revision>
  <dcterms:created xsi:type="dcterms:W3CDTF">2015-09-03T05:35:00Z</dcterms:created>
  <dcterms:modified xsi:type="dcterms:W3CDTF">2015-09-03T05:37:00Z</dcterms:modified>
</cp:coreProperties>
</file>